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2FD" w:rsidRDefault="00F802FD" w:rsidP="003F0894">
      <w:pPr>
        <w:spacing w:after="0"/>
        <w:jc w:val="both"/>
        <w:rPr>
          <w:rFonts w:ascii="Sylfaen" w:hAnsi="Sylfaen"/>
          <w:sz w:val="24"/>
          <w:szCs w:val="24"/>
        </w:rPr>
      </w:pPr>
    </w:p>
    <w:p w:rsidR="003F0894" w:rsidRPr="003F0894" w:rsidRDefault="003F0894" w:rsidP="003F0894">
      <w:pPr>
        <w:spacing w:after="0"/>
        <w:jc w:val="center"/>
        <w:rPr>
          <w:rFonts w:ascii="Sylfaen" w:hAnsi="Sylfaen"/>
          <w:b/>
          <w:sz w:val="24"/>
          <w:szCs w:val="24"/>
          <w:u w:val="single"/>
        </w:rPr>
      </w:pPr>
      <w:r w:rsidRPr="003F0894">
        <w:rPr>
          <w:rFonts w:ascii="Sylfaen" w:hAnsi="Sylfaen"/>
          <w:b/>
          <w:sz w:val="24"/>
          <w:szCs w:val="24"/>
          <w:u w:val="single"/>
        </w:rPr>
        <w:t xml:space="preserve">MODELO </w:t>
      </w:r>
      <w:r w:rsidR="00D5205D">
        <w:rPr>
          <w:rFonts w:ascii="Sylfaen" w:hAnsi="Sylfaen"/>
          <w:b/>
          <w:sz w:val="24"/>
          <w:szCs w:val="24"/>
          <w:u w:val="single"/>
        </w:rPr>
        <w:t>2</w:t>
      </w:r>
    </w:p>
    <w:p w:rsidR="003F0894" w:rsidRDefault="003F0894" w:rsidP="003F0894">
      <w:pPr>
        <w:spacing w:after="0"/>
        <w:jc w:val="both"/>
        <w:rPr>
          <w:rFonts w:ascii="Sylfaen" w:hAnsi="Sylfaen"/>
          <w:sz w:val="24"/>
          <w:szCs w:val="24"/>
        </w:rPr>
      </w:pPr>
    </w:p>
    <w:p w:rsidR="00D5205D" w:rsidRDefault="00D5205D" w:rsidP="003F0894">
      <w:pPr>
        <w:spacing w:after="0"/>
        <w:jc w:val="both"/>
        <w:rPr>
          <w:rFonts w:ascii="Sylfaen" w:hAnsi="Sylfaen"/>
          <w:sz w:val="24"/>
          <w:szCs w:val="24"/>
        </w:rPr>
      </w:pPr>
    </w:p>
    <w:p w:rsidR="00D5205D" w:rsidRPr="00D5205D" w:rsidRDefault="00D5205D" w:rsidP="00D5205D">
      <w:pPr>
        <w:spacing w:after="0"/>
        <w:jc w:val="center"/>
        <w:rPr>
          <w:rFonts w:ascii="Sylfaen" w:hAnsi="Sylfaen"/>
          <w:b/>
          <w:sz w:val="24"/>
          <w:szCs w:val="24"/>
        </w:rPr>
      </w:pPr>
      <w:r w:rsidRPr="00D5205D">
        <w:rPr>
          <w:rFonts w:ascii="Sylfaen" w:hAnsi="Sylfaen"/>
          <w:b/>
          <w:sz w:val="24"/>
          <w:szCs w:val="24"/>
        </w:rPr>
        <w:t>A LA AGENCIA ESTATAL DE LA ADMINISTRACIÓN TRIBUTARIA PARA ANTE EL TRIBUNAL ECONÓMICO ADMINISTRATIVO</w:t>
      </w:r>
    </w:p>
    <w:p w:rsidR="00D5205D" w:rsidRDefault="00D5205D" w:rsidP="003F0894">
      <w:pPr>
        <w:spacing w:after="0"/>
        <w:jc w:val="both"/>
        <w:rPr>
          <w:rFonts w:ascii="Sylfaen" w:hAnsi="Sylfaen"/>
          <w:sz w:val="24"/>
          <w:szCs w:val="24"/>
        </w:rPr>
      </w:pPr>
    </w:p>
    <w:p w:rsidR="00D5205D" w:rsidRDefault="00D5205D" w:rsidP="003F0894">
      <w:pPr>
        <w:spacing w:after="0"/>
        <w:jc w:val="both"/>
        <w:rPr>
          <w:rFonts w:ascii="Sylfaen" w:hAnsi="Sylfaen"/>
          <w:sz w:val="24"/>
          <w:szCs w:val="24"/>
        </w:rPr>
      </w:pPr>
    </w:p>
    <w:p w:rsidR="00493AC4" w:rsidRDefault="00493AC4" w:rsidP="003F0894">
      <w:pPr>
        <w:spacing w:after="0"/>
        <w:jc w:val="both"/>
        <w:rPr>
          <w:rFonts w:ascii="Sylfaen" w:hAnsi="Sylfaen"/>
          <w:sz w:val="24"/>
          <w:szCs w:val="24"/>
        </w:rPr>
      </w:pPr>
    </w:p>
    <w:p w:rsidR="00493AC4" w:rsidRDefault="00493AC4" w:rsidP="003F0894">
      <w:pPr>
        <w:spacing w:after="0"/>
        <w:jc w:val="both"/>
        <w:rPr>
          <w:rFonts w:ascii="Sylfaen" w:hAnsi="Sylfaen"/>
          <w:sz w:val="24"/>
          <w:szCs w:val="24"/>
        </w:rPr>
      </w:pPr>
    </w:p>
    <w:p w:rsidR="00D5205D" w:rsidRDefault="00D5205D" w:rsidP="003F0894">
      <w:pPr>
        <w:spacing w:after="0"/>
        <w:jc w:val="both"/>
        <w:rPr>
          <w:rFonts w:ascii="Sylfaen" w:hAnsi="Sylfaen"/>
          <w:sz w:val="24"/>
          <w:szCs w:val="24"/>
        </w:rPr>
      </w:pPr>
      <w:r>
        <w:rPr>
          <w:rFonts w:ascii="Sylfaen" w:hAnsi="Sylfaen"/>
          <w:sz w:val="24"/>
          <w:szCs w:val="24"/>
        </w:rPr>
        <w:t>(Encabezamiento)</w:t>
      </w:r>
    </w:p>
    <w:p w:rsidR="00D5205D" w:rsidRDefault="00D5205D" w:rsidP="003F0894">
      <w:pPr>
        <w:spacing w:after="0"/>
        <w:jc w:val="both"/>
        <w:rPr>
          <w:rFonts w:ascii="Sylfaen" w:hAnsi="Sylfaen"/>
          <w:sz w:val="24"/>
          <w:szCs w:val="24"/>
        </w:rPr>
      </w:pPr>
    </w:p>
    <w:p w:rsidR="00493AC4" w:rsidRDefault="00493AC4" w:rsidP="003F0894">
      <w:pPr>
        <w:spacing w:after="0"/>
        <w:jc w:val="both"/>
        <w:rPr>
          <w:rFonts w:ascii="Sylfaen" w:hAnsi="Sylfaen"/>
          <w:sz w:val="24"/>
          <w:szCs w:val="24"/>
        </w:rPr>
      </w:pPr>
    </w:p>
    <w:p w:rsidR="00493AC4" w:rsidRDefault="00493AC4" w:rsidP="003F0894">
      <w:pPr>
        <w:spacing w:after="0"/>
        <w:jc w:val="both"/>
        <w:rPr>
          <w:rFonts w:ascii="Sylfaen" w:hAnsi="Sylfaen"/>
          <w:sz w:val="24"/>
          <w:szCs w:val="24"/>
        </w:rPr>
      </w:pPr>
    </w:p>
    <w:p w:rsidR="00D5205D" w:rsidRPr="00CB644C" w:rsidRDefault="00D5205D" w:rsidP="00CB644C">
      <w:pPr>
        <w:spacing w:after="0"/>
        <w:jc w:val="center"/>
        <w:rPr>
          <w:rFonts w:ascii="Sylfaen" w:hAnsi="Sylfaen"/>
          <w:b/>
          <w:sz w:val="24"/>
          <w:szCs w:val="24"/>
        </w:rPr>
      </w:pPr>
      <w:r w:rsidRPr="00CB644C">
        <w:rPr>
          <w:rFonts w:ascii="Sylfaen" w:hAnsi="Sylfaen"/>
          <w:b/>
          <w:sz w:val="24"/>
          <w:szCs w:val="24"/>
        </w:rPr>
        <w:t>EXPONE:</w:t>
      </w:r>
    </w:p>
    <w:p w:rsidR="00D5205D" w:rsidRDefault="00D5205D" w:rsidP="003F0894">
      <w:pPr>
        <w:spacing w:after="0"/>
        <w:jc w:val="both"/>
        <w:rPr>
          <w:rFonts w:ascii="Sylfaen" w:hAnsi="Sylfaen"/>
          <w:sz w:val="24"/>
          <w:szCs w:val="24"/>
        </w:rPr>
      </w:pPr>
    </w:p>
    <w:p w:rsidR="00D5205D" w:rsidRDefault="00D5205D" w:rsidP="003F0894">
      <w:pPr>
        <w:spacing w:after="0"/>
        <w:jc w:val="both"/>
        <w:rPr>
          <w:rFonts w:ascii="Sylfaen" w:hAnsi="Sylfaen"/>
          <w:sz w:val="24"/>
          <w:szCs w:val="24"/>
        </w:rPr>
      </w:pPr>
      <w:r>
        <w:rPr>
          <w:rFonts w:ascii="Sylfaen" w:hAnsi="Sylfaen"/>
          <w:sz w:val="24"/>
          <w:szCs w:val="24"/>
        </w:rPr>
        <w:t xml:space="preserve">Que con fecha </w:t>
      </w:r>
      <w:proofErr w:type="gramStart"/>
      <w:r>
        <w:rPr>
          <w:rFonts w:ascii="Sylfaen" w:hAnsi="Sylfaen"/>
          <w:sz w:val="24"/>
          <w:szCs w:val="24"/>
        </w:rPr>
        <w:t>de …</w:t>
      </w:r>
      <w:proofErr w:type="gramEnd"/>
      <w:r>
        <w:rPr>
          <w:rFonts w:ascii="Sylfaen" w:hAnsi="Sylfaen"/>
          <w:sz w:val="24"/>
          <w:szCs w:val="24"/>
        </w:rPr>
        <w:t xml:space="preserve">……………………..  </w:t>
      </w:r>
      <w:proofErr w:type="gramStart"/>
      <w:r>
        <w:rPr>
          <w:rFonts w:ascii="Sylfaen" w:hAnsi="Sylfaen"/>
          <w:sz w:val="24"/>
          <w:szCs w:val="24"/>
        </w:rPr>
        <w:t>he</w:t>
      </w:r>
      <w:proofErr w:type="gramEnd"/>
      <w:r>
        <w:rPr>
          <w:rFonts w:ascii="Sylfaen" w:hAnsi="Sylfaen"/>
          <w:sz w:val="24"/>
          <w:szCs w:val="24"/>
        </w:rPr>
        <w:t xml:space="preserve"> presentado modelo de autoliquidación y abonado la tasa exigida por la Ley 10/2012 por la interposición de …. (</w:t>
      </w:r>
      <w:proofErr w:type="gramStart"/>
      <w:r>
        <w:rPr>
          <w:rFonts w:ascii="Sylfaen" w:hAnsi="Sylfaen"/>
          <w:sz w:val="24"/>
          <w:szCs w:val="24"/>
        </w:rPr>
        <w:t>señalar</w:t>
      </w:r>
      <w:proofErr w:type="gramEnd"/>
      <w:r>
        <w:rPr>
          <w:rFonts w:ascii="Sylfaen" w:hAnsi="Sylfaen"/>
          <w:sz w:val="24"/>
          <w:szCs w:val="24"/>
        </w:rPr>
        <w:t xml:space="preserve"> hecho imponible) y, considerando dicha tasa contraria a derecho, por medio del presente escrito promuevo Reclam</w:t>
      </w:r>
      <w:r w:rsidR="00CB644C">
        <w:rPr>
          <w:rFonts w:ascii="Sylfaen" w:hAnsi="Sylfaen"/>
          <w:sz w:val="24"/>
          <w:szCs w:val="24"/>
        </w:rPr>
        <w:t>ación Económica Administrativa, en solicitud de anulación y devolución de su importe.</w:t>
      </w:r>
    </w:p>
    <w:p w:rsidR="00CB644C" w:rsidRDefault="00CB644C" w:rsidP="003F0894">
      <w:pPr>
        <w:spacing w:after="0"/>
        <w:jc w:val="both"/>
        <w:rPr>
          <w:rFonts w:ascii="Sylfaen" w:hAnsi="Sylfaen"/>
          <w:sz w:val="24"/>
          <w:szCs w:val="24"/>
        </w:rPr>
      </w:pPr>
    </w:p>
    <w:p w:rsidR="00D5205D" w:rsidRDefault="00D5205D" w:rsidP="003F0894">
      <w:pPr>
        <w:spacing w:after="0"/>
        <w:jc w:val="both"/>
        <w:rPr>
          <w:rFonts w:ascii="Sylfaen" w:hAnsi="Sylfaen"/>
          <w:sz w:val="24"/>
          <w:szCs w:val="24"/>
        </w:rPr>
      </w:pPr>
      <w:r>
        <w:rPr>
          <w:rFonts w:ascii="Sylfaen" w:hAnsi="Sylfaen"/>
          <w:sz w:val="24"/>
          <w:szCs w:val="24"/>
        </w:rPr>
        <w:t>Con carácter previo hago constar expresamente que no he impugnado mediante Recurso de Reposición la Autoliquidación objeto de la presente reclamación.</w:t>
      </w:r>
    </w:p>
    <w:p w:rsidR="00CB644C" w:rsidRDefault="00CB644C" w:rsidP="003F0894">
      <w:pPr>
        <w:spacing w:after="0"/>
        <w:jc w:val="both"/>
        <w:rPr>
          <w:rFonts w:ascii="Sylfaen" w:hAnsi="Sylfaen"/>
          <w:sz w:val="24"/>
          <w:szCs w:val="24"/>
        </w:rPr>
      </w:pPr>
    </w:p>
    <w:p w:rsidR="00CB644C" w:rsidRDefault="00CB644C" w:rsidP="003F0894">
      <w:pPr>
        <w:spacing w:after="0"/>
        <w:jc w:val="both"/>
        <w:rPr>
          <w:rFonts w:ascii="Sylfaen" w:hAnsi="Sylfaen"/>
          <w:sz w:val="24"/>
          <w:szCs w:val="24"/>
        </w:rPr>
      </w:pPr>
      <w:r>
        <w:rPr>
          <w:rFonts w:ascii="Sylfaen" w:hAnsi="Sylfaen"/>
          <w:sz w:val="24"/>
          <w:szCs w:val="24"/>
        </w:rPr>
        <w:t xml:space="preserve">Baso la presente Reclamación en los siguientes </w:t>
      </w:r>
    </w:p>
    <w:p w:rsidR="00CB644C" w:rsidRDefault="00CB644C" w:rsidP="003F0894">
      <w:pPr>
        <w:spacing w:after="0"/>
        <w:jc w:val="both"/>
        <w:rPr>
          <w:rFonts w:ascii="Sylfaen" w:hAnsi="Sylfaen"/>
          <w:sz w:val="24"/>
          <w:szCs w:val="24"/>
        </w:rPr>
      </w:pPr>
    </w:p>
    <w:p w:rsidR="00CB644C" w:rsidRDefault="00CB644C" w:rsidP="003F0894">
      <w:pPr>
        <w:spacing w:after="0"/>
        <w:jc w:val="both"/>
        <w:rPr>
          <w:rFonts w:ascii="Sylfaen" w:hAnsi="Sylfaen"/>
          <w:sz w:val="24"/>
          <w:szCs w:val="24"/>
        </w:rPr>
      </w:pPr>
    </w:p>
    <w:p w:rsidR="00CB644C" w:rsidRPr="00CB644C" w:rsidRDefault="00CB644C" w:rsidP="00CB644C">
      <w:pPr>
        <w:spacing w:after="0"/>
        <w:jc w:val="center"/>
        <w:rPr>
          <w:rFonts w:ascii="Sylfaen" w:hAnsi="Sylfaen"/>
          <w:b/>
          <w:sz w:val="24"/>
          <w:szCs w:val="24"/>
        </w:rPr>
      </w:pPr>
      <w:r w:rsidRPr="00CB644C">
        <w:rPr>
          <w:rFonts w:ascii="Sylfaen" w:hAnsi="Sylfaen"/>
          <w:b/>
          <w:sz w:val="24"/>
          <w:szCs w:val="24"/>
        </w:rPr>
        <w:t>HECHOS</w:t>
      </w:r>
    </w:p>
    <w:p w:rsidR="00CB644C" w:rsidRDefault="00CB644C" w:rsidP="003F0894">
      <w:pPr>
        <w:spacing w:after="0"/>
        <w:jc w:val="both"/>
        <w:rPr>
          <w:rFonts w:ascii="Sylfaen" w:hAnsi="Sylfaen"/>
          <w:sz w:val="24"/>
          <w:szCs w:val="24"/>
        </w:rPr>
      </w:pPr>
    </w:p>
    <w:p w:rsidR="00CB644C" w:rsidRDefault="00CB644C" w:rsidP="003F0894">
      <w:pPr>
        <w:spacing w:after="0"/>
        <w:jc w:val="both"/>
        <w:rPr>
          <w:rFonts w:ascii="Sylfaen" w:hAnsi="Sylfaen"/>
          <w:sz w:val="24"/>
          <w:szCs w:val="24"/>
        </w:rPr>
      </w:pPr>
    </w:p>
    <w:p w:rsidR="00493AC4" w:rsidRDefault="00493AC4" w:rsidP="003F0894">
      <w:pPr>
        <w:spacing w:after="0"/>
        <w:jc w:val="both"/>
        <w:rPr>
          <w:rFonts w:ascii="Sylfaen" w:hAnsi="Sylfaen"/>
          <w:sz w:val="24"/>
          <w:szCs w:val="24"/>
        </w:rPr>
      </w:pPr>
      <w:r>
        <w:rPr>
          <w:rFonts w:ascii="Sylfaen" w:hAnsi="Sylfaen"/>
          <w:sz w:val="24"/>
          <w:szCs w:val="24"/>
        </w:rPr>
        <w:t xml:space="preserve">Al interponer (exponer el hecho imponible, con una breve descripción de la acción que se ha interpuesto, gravada por la nueva Ley), la Ley 10/2012 determina la exigibilidad de la cantidad fija </w:t>
      </w:r>
      <w:proofErr w:type="gramStart"/>
      <w:r>
        <w:rPr>
          <w:rFonts w:ascii="Sylfaen" w:hAnsi="Sylfaen"/>
          <w:sz w:val="24"/>
          <w:szCs w:val="24"/>
        </w:rPr>
        <w:t>de ….</w:t>
      </w:r>
      <w:proofErr w:type="gramEnd"/>
      <w:r>
        <w:rPr>
          <w:rFonts w:ascii="Sylfaen" w:hAnsi="Sylfaen"/>
          <w:sz w:val="24"/>
          <w:szCs w:val="24"/>
        </w:rPr>
        <w:t xml:space="preserve"> €, </w:t>
      </w:r>
      <w:proofErr w:type="gramStart"/>
      <w:r>
        <w:rPr>
          <w:rFonts w:ascii="Sylfaen" w:hAnsi="Sylfaen"/>
          <w:sz w:val="24"/>
          <w:szCs w:val="24"/>
        </w:rPr>
        <w:t>más</w:t>
      </w:r>
      <w:proofErr w:type="gramEnd"/>
      <w:r>
        <w:rPr>
          <w:rFonts w:ascii="Sylfaen" w:hAnsi="Sylfaen"/>
          <w:sz w:val="24"/>
          <w:szCs w:val="24"/>
        </w:rPr>
        <w:t xml:space="preserve"> la cantidad variable de ….. €.</w:t>
      </w:r>
    </w:p>
    <w:p w:rsidR="00493AC4" w:rsidRDefault="00493AC4" w:rsidP="003F0894">
      <w:pPr>
        <w:spacing w:after="0"/>
        <w:jc w:val="both"/>
        <w:rPr>
          <w:rFonts w:ascii="Sylfaen" w:hAnsi="Sylfaen"/>
          <w:sz w:val="24"/>
          <w:szCs w:val="24"/>
        </w:rPr>
      </w:pPr>
    </w:p>
    <w:p w:rsidR="00CB644C" w:rsidRDefault="00CB644C" w:rsidP="003F0894">
      <w:pPr>
        <w:spacing w:after="0"/>
        <w:jc w:val="both"/>
        <w:rPr>
          <w:rFonts w:ascii="Sylfaen" w:hAnsi="Sylfaen"/>
          <w:sz w:val="24"/>
          <w:szCs w:val="24"/>
        </w:rPr>
      </w:pPr>
      <w:r>
        <w:rPr>
          <w:rFonts w:ascii="Sylfaen" w:hAnsi="Sylfaen"/>
          <w:sz w:val="24"/>
          <w:szCs w:val="24"/>
        </w:rPr>
        <w:t>La tasa por el ejercicio de la potestad jurisdiccional que se me ha aplicado es</w:t>
      </w:r>
      <w:r w:rsidR="00493AC4">
        <w:rPr>
          <w:rFonts w:ascii="Sylfaen" w:hAnsi="Sylfaen"/>
          <w:sz w:val="24"/>
          <w:szCs w:val="24"/>
        </w:rPr>
        <w:t xml:space="preserve">, por lo tanto, </w:t>
      </w:r>
      <w:proofErr w:type="gramStart"/>
      <w:r>
        <w:rPr>
          <w:rFonts w:ascii="Sylfaen" w:hAnsi="Sylfaen"/>
          <w:sz w:val="24"/>
          <w:szCs w:val="24"/>
        </w:rPr>
        <w:t>de ….</w:t>
      </w:r>
      <w:proofErr w:type="gramEnd"/>
      <w:r>
        <w:rPr>
          <w:rFonts w:ascii="Sylfaen" w:hAnsi="Sylfaen"/>
          <w:sz w:val="24"/>
          <w:szCs w:val="24"/>
        </w:rPr>
        <w:t xml:space="preserve"> €</w:t>
      </w:r>
      <w:r w:rsidR="00493AC4">
        <w:rPr>
          <w:rFonts w:ascii="Sylfaen" w:hAnsi="Sylfaen"/>
          <w:sz w:val="24"/>
          <w:szCs w:val="24"/>
        </w:rPr>
        <w:t>.</w:t>
      </w:r>
    </w:p>
    <w:p w:rsidR="00CB644C" w:rsidRDefault="00CB644C" w:rsidP="003F0894">
      <w:pPr>
        <w:spacing w:after="0"/>
        <w:jc w:val="both"/>
        <w:rPr>
          <w:rFonts w:ascii="Sylfaen" w:hAnsi="Sylfaen"/>
          <w:sz w:val="24"/>
          <w:szCs w:val="24"/>
        </w:rPr>
      </w:pPr>
    </w:p>
    <w:p w:rsidR="00D5205D" w:rsidRDefault="00CB644C" w:rsidP="003F0894">
      <w:pPr>
        <w:spacing w:after="0"/>
        <w:jc w:val="both"/>
        <w:rPr>
          <w:rFonts w:ascii="Sylfaen" w:hAnsi="Sylfaen"/>
          <w:sz w:val="24"/>
          <w:szCs w:val="24"/>
        </w:rPr>
      </w:pPr>
      <w:r>
        <w:rPr>
          <w:rFonts w:ascii="Sylfaen" w:hAnsi="Sylfaen"/>
          <w:sz w:val="24"/>
          <w:szCs w:val="24"/>
        </w:rPr>
        <w:lastRenderedPageBreak/>
        <w:t xml:space="preserve">A los anteriores hechos son de aplicación los siguientes </w:t>
      </w:r>
    </w:p>
    <w:p w:rsidR="00CB644C" w:rsidRDefault="00CB644C" w:rsidP="003F0894">
      <w:pPr>
        <w:spacing w:after="0"/>
        <w:jc w:val="both"/>
        <w:rPr>
          <w:rFonts w:ascii="Sylfaen" w:hAnsi="Sylfaen"/>
          <w:sz w:val="24"/>
          <w:szCs w:val="24"/>
        </w:rPr>
      </w:pPr>
    </w:p>
    <w:p w:rsidR="00CB644C" w:rsidRDefault="00CB644C" w:rsidP="003F0894">
      <w:pPr>
        <w:spacing w:after="0"/>
        <w:jc w:val="both"/>
        <w:rPr>
          <w:rFonts w:ascii="Sylfaen" w:hAnsi="Sylfaen"/>
          <w:sz w:val="24"/>
          <w:szCs w:val="24"/>
        </w:rPr>
      </w:pPr>
    </w:p>
    <w:p w:rsidR="00CB644C" w:rsidRDefault="00CB644C" w:rsidP="00CB644C">
      <w:pPr>
        <w:spacing w:after="0"/>
        <w:jc w:val="center"/>
        <w:rPr>
          <w:rFonts w:ascii="Sylfaen" w:hAnsi="Sylfaen"/>
          <w:b/>
          <w:sz w:val="24"/>
          <w:szCs w:val="24"/>
        </w:rPr>
      </w:pPr>
      <w:r>
        <w:rPr>
          <w:rFonts w:ascii="Sylfaen" w:hAnsi="Sylfaen"/>
          <w:b/>
          <w:sz w:val="24"/>
          <w:szCs w:val="24"/>
        </w:rPr>
        <w:t>FUNDAMENTOS DE DERECHO</w:t>
      </w:r>
    </w:p>
    <w:p w:rsidR="00CB644C" w:rsidRDefault="00CB644C" w:rsidP="003F0894">
      <w:pPr>
        <w:spacing w:after="0"/>
        <w:jc w:val="both"/>
        <w:rPr>
          <w:rFonts w:ascii="Sylfaen" w:hAnsi="Sylfaen"/>
          <w:b/>
          <w:sz w:val="24"/>
          <w:szCs w:val="24"/>
        </w:rPr>
      </w:pPr>
    </w:p>
    <w:p w:rsidR="00CB644C" w:rsidRDefault="00CB644C" w:rsidP="003F0894">
      <w:pPr>
        <w:spacing w:after="0"/>
        <w:jc w:val="both"/>
        <w:rPr>
          <w:rFonts w:ascii="Sylfaen" w:hAnsi="Sylfaen"/>
          <w:b/>
          <w:sz w:val="24"/>
          <w:szCs w:val="24"/>
        </w:rPr>
      </w:pPr>
    </w:p>
    <w:p w:rsidR="00CB644C" w:rsidRDefault="00CB644C" w:rsidP="003F0894">
      <w:pPr>
        <w:spacing w:after="0"/>
        <w:jc w:val="both"/>
        <w:rPr>
          <w:rFonts w:ascii="Sylfaen" w:hAnsi="Sylfaen"/>
          <w:b/>
          <w:sz w:val="24"/>
          <w:szCs w:val="24"/>
        </w:rPr>
      </w:pPr>
      <w:r>
        <w:rPr>
          <w:rFonts w:ascii="Sylfaen" w:hAnsi="Sylfaen"/>
          <w:b/>
          <w:sz w:val="24"/>
          <w:szCs w:val="24"/>
        </w:rPr>
        <w:t>ÚNICO: Inconstitucionalidad de la norma</w:t>
      </w:r>
    </w:p>
    <w:p w:rsidR="00CB644C" w:rsidRDefault="00CB644C" w:rsidP="003F0894">
      <w:pPr>
        <w:spacing w:after="0"/>
        <w:jc w:val="both"/>
        <w:rPr>
          <w:rFonts w:ascii="Sylfaen" w:hAnsi="Sylfaen"/>
          <w:b/>
          <w:sz w:val="24"/>
          <w:szCs w:val="24"/>
        </w:rPr>
      </w:pPr>
    </w:p>
    <w:p w:rsidR="00822077" w:rsidRDefault="00822077" w:rsidP="00822077">
      <w:pPr>
        <w:spacing w:after="0"/>
        <w:jc w:val="both"/>
        <w:rPr>
          <w:rFonts w:ascii="Sylfaen" w:hAnsi="Sylfaen"/>
          <w:sz w:val="24"/>
          <w:szCs w:val="24"/>
        </w:rPr>
      </w:pPr>
      <w:r w:rsidRPr="00D17D0A">
        <w:rPr>
          <w:rFonts w:ascii="Sylfaen" w:hAnsi="Sylfaen"/>
          <w:sz w:val="24"/>
          <w:szCs w:val="24"/>
        </w:rPr>
        <w:t>El art</w:t>
      </w:r>
      <w:r>
        <w:rPr>
          <w:rFonts w:ascii="Sylfaen" w:hAnsi="Sylfaen"/>
          <w:sz w:val="24"/>
          <w:szCs w:val="24"/>
        </w:rPr>
        <w:t>. 7 de la Ley se dedica a regular la determinación de la cuota tributaria, partiendo de una parte fija en función del hecho imponible, a la que se suma una cantidad variable obtenida mediante la aplicación de los tipos establecidos a la base imponible determinada por la cuantía del pleito, con un máximo de 10.000 euros.</w:t>
      </w:r>
    </w:p>
    <w:p w:rsidR="00822077" w:rsidRDefault="00822077" w:rsidP="00822077">
      <w:pPr>
        <w:spacing w:after="0"/>
        <w:jc w:val="both"/>
        <w:rPr>
          <w:rFonts w:ascii="Sylfaen" w:hAnsi="Sylfaen"/>
          <w:b/>
          <w:sz w:val="24"/>
          <w:szCs w:val="24"/>
        </w:rPr>
      </w:pPr>
    </w:p>
    <w:p w:rsidR="00822077" w:rsidRDefault="00822077" w:rsidP="00822077">
      <w:pPr>
        <w:spacing w:after="0"/>
        <w:jc w:val="both"/>
        <w:rPr>
          <w:rFonts w:ascii="Sylfaen" w:hAnsi="Sylfaen"/>
          <w:sz w:val="24"/>
          <w:szCs w:val="24"/>
        </w:rPr>
      </w:pPr>
      <w:r w:rsidRPr="0059462B">
        <w:rPr>
          <w:rFonts w:ascii="Sylfaen" w:hAnsi="Sylfaen"/>
          <w:b/>
          <w:sz w:val="24"/>
          <w:szCs w:val="24"/>
        </w:rPr>
        <w:t>Las cuotas resultantes suponen enormes incrementos</w:t>
      </w:r>
      <w:r>
        <w:rPr>
          <w:rFonts w:ascii="Sylfaen" w:hAnsi="Sylfaen"/>
          <w:sz w:val="24"/>
          <w:szCs w:val="24"/>
        </w:rPr>
        <w:t xml:space="preserve"> con respecto a las resultantes del sistema vigente. El </w:t>
      </w:r>
      <w:r w:rsidRPr="0059462B">
        <w:rPr>
          <w:rFonts w:ascii="Sylfaen" w:hAnsi="Sylfaen"/>
          <w:sz w:val="24"/>
          <w:szCs w:val="24"/>
        </w:rPr>
        <w:t>efecto disuasorio</w:t>
      </w:r>
      <w:r>
        <w:rPr>
          <w:rFonts w:ascii="Sylfaen" w:hAnsi="Sylfaen"/>
          <w:sz w:val="24"/>
          <w:szCs w:val="24"/>
        </w:rPr>
        <w:t xml:space="preserve"> en muchos casos, muchos más de los deseables y en especial los de escasa cuantía –como ya se ha indicado-, resulta indudable y determina una </w:t>
      </w:r>
      <w:r w:rsidRPr="0059462B">
        <w:rPr>
          <w:rFonts w:ascii="Sylfaen" w:hAnsi="Sylfaen"/>
          <w:b/>
          <w:sz w:val="24"/>
          <w:szCs w:val="24"/>
          <w:u w:val="single"/>
        </w:rPr>
        <w:t>inexorable imposibilidad de acceso a la Jurisdicción</w:t>
      </w:r>
      <w:r>
        <w:rPr>
          <w:rFonts w:ascii="Sylfaen" w:hAnsi="Sylfaen"/>
          <w:sz w:val="24"/>
          <w:szCs w:val="24"/>
        </w:rPr>
        <w:t xml:space="preserve"> y, en consecuencia, un injusto </w:t>
      </w:r>
      <w:r w:rsidRPr="009B6414">
        <w:rPr>
          <w:rFonts w:ascii="Sylfaen" w:hAnsi="Sylfaen"/>
          <w:b/>
          <w:sz w:val="24"/>
          <w:szCs w:val="24"/>
          <w:u w:val="single"/>
        </w:rPr>
        <w:t>desconocimiento del derecho a la tutela judicial efectiva</w:t>
      </w:r>
      <w:r>
        <w:rPr>
          <w:rFonts w:ascii="Sylfaen" w:hAnsi="Sylfaen"/>
          <w:sz w:val="24"/>
          <w:szCs w:val="24"/>
        </w:rPr>
        <w:t>.</w:t>
      </w:r>
    </w:p>
    <w:p w:rsidR="00822077" w:rsidRDefault="00822077" w:rsidP="00822077">
      <w:pPr>
        <w:spacing w:after="0"/>
        <w:jc w:val="both"/>
        <w:rPr>
          <w:rFonts w:ascii="Sylfaen" w:hAnsi="Sylfaen"/>
          <w:sz w:val="24"/>
          <w:szCs w:val="24"/>
        </w:rPr>
      </w:pPr>
    </w:p>
    <w:p w:rsidR="00822077" w:rsidRDefault="00822077" w:rsidP="00822077">
      <w:pPr>
        <w:spacing w:after="0"/>
        <w:jc w:val="both"/>
        <w:rPr>
          <w:rFonts w:ascii="Sylfaen" w:hAnsi="Sylfaen"/>
          <w:sz w:val="24"/>
          <w:szCs w:val="24"/>
        </w:rPr>
      </w:pPr>
      <w:r>
        <w:rPr>
          <w:rFonts w:ascii="Sylfaen" w:hAnsi="Sylfaen"/>
          <w:sz w:val="24"/>
          <w:szCs w:val="24"/>
        </w:rPr>
        <w:t>El Tribunal Constitucional en la STC 20/2012, cuando afirmaba en el contexto de la norma entonces vigente sobre tasas que “</w:t>
      </w:r>
      <w:r w:rsidRPr="0088656F">
        <w:rPr>
          <w:rFonts w:ascii="Sylfaen" w:hAnsi="Sylfaen"/>
          <w:i/>
          <w:sz w:val="24"/>
          <w:szCs w:val="24"/>
        </w:rPr>
        <w:t>no vulnera la Constitución que una norma de rango legal someta a entidades mercantiles, con un elevado volumen de facturación, al pago de unas tasas que sirven para financiar los costes generados por la actividad jurisdiccional</w:t>
      </w:r>
      <w:r>
        <w:rPr>
          <w:rFonts w:ascii="Sylfaen" w:hAnsi="Sylfaen"/>
          <w:sz w:val="24"/>
          <w:szCs w:val="24"/>
        </w:rPr>
        <w:t>”.</w:t>
      </w:r>
    </w:p>
    <w:p w:rsidR="00822077" w:rsidRDefault="00822077" w:rsidP="00822077">
      <w:pPr>
        <w:spacing w:after="0"/>
        <w:jc w:val="both"/>
        <w:rPr>
          <w:rFonts w:ascii="Sylfaen" w:hAnsi="Sylfaen"/>
          <w:sz w:val="24"/>
          <w:szCs w:val="24"/>
        </w:rPr>
      </w:pPr>
    </w:p>
    <w:p w:rsidR="00822077" w:rsidRDefault="00822077" w:rsidP="00822077">
      <w:pPr>
        <w:spacing w:after="0"/>
        <w:jc w:val="both"/>
        <w:rPr>
          <w:rFonts w:ascii="Sylfaen" w:hAnsi="Sylfaen"/>
          <w:sz w:val="24"/>
          <w:szCs w:val="24"/>
        </w:rPr>
      </w:pPr>
      <w:r>
        <w:rPr>
          <w:rFonts w:ascii="Sylfaen" w:hAnsi="Sylfaen"/>
          <w:sz w:val="24"/>
          <w:szCs w:val="24"/>
        </w:rPr>
        <w:t>Sin embargo, el alto Tribunal añade en el FJ 10 que:</w:t>
      </w:r>
    </w:p>
    <w:p w:rsidR="00822077" w:rsidRDefault="00822077" w:rsidP="00822077">
      <w:pPr>
        <w:spacing w:after="0"/>
        <w:ind w:left="680"/>
        <w:jc w:val="both"/>
        <w:rPr>
          <w:rFonts w:ascii="Sylfaen" w:hAnsi="Sylfaen"/>
          <w:i/>
          <w:sz w:val="24"/>
          <w:szCs w:val="24"/>
        </w:rPr>
      </w:pPr>
    </w:p>
    <w:p w:rsidR="00822077" w:rsidRPr="0059462B" w:rsidRDefault="00822077" w:rsidP="00822077">
      <w:pPr>
        <w:spacing w:after="0"/>
        <w:ind w:left="680"/>
        <w:jc w:val="both"/>
        <w:rPr>
          <w:rFonts w:ascii="Sylfaen" w:hAnsi="Sylfaen"/>
          <w:i/>
          <w:sz w:val="24"/>
          <w:szCs w:val="24"/>
        </w:rPr>
      </w:pPr>
      <w:r w:rsidRPr="0059462B">
        <w:rPr>
          <w:rFonts w:ascii="Sylfaen" w:hAnsi="Sylfaen"/>
          <w:i/>
          <w:sz w:val="24"/>
          <w:szCs w:val="24"/>
        </w:rPr>
        <w:t>“</w:t>
      </w:r>
      <w:r w:rsidRPr="0059462B">
        <w:rPr>
          <w:rFonts w:ascii="Sylfaen" w:hAnsi="Sylfaen"/>
          <w:b/>
          <w:i/>
          <w:sz w:val="24"/>
          <w:szCs w:val="24"/>
          <w:u w:val="single"/>
        </w:rPr>
        <w:t>Esta conclusión general sólo podría verse modificada si se mostrase que la cuantía de las tasas establecidas por la Ley 53/2002, de 30 de diciembre, son tan elevadas que impiden en la práctica el acceso a la jurisdicción o lo obstaculizan en un caso concreto en términos irrazonables</w:t>
      </w:r>
      <w:r w:rsidRPr="0059462B">
        <w:rPr>
          <w:rFonts w:ascii="Sylfaen" w:hAnsi="Sylfaen"/>
          <w:i/>
          <w:sz w:val="24"/>
          <w:szCs w:val="24"/>
        </w:rPr>
        <w:t xml:space="preserve">, atendiendo a los criterios de la jurisprudencia expuestos en el fundamento jurídico 7. En esta misma línea se ha pronunciado el Tribunal Europeo de Derechos Humanos que, a partir de la Sentencia </w:t>
      </w:r>
      <w:proofErr w:type="spellStart"/>
      <w:r w:rsidRPr="0059462B">
        <w:rPr>
          <w:rFonts w:ascii="Sylfaen" w:hAnsi="Sylfaen"/>
          <w:i/>
          <w:sz w:val="24"/>
          <w:szCs w:val="24"/>
        </w:rPr>
        <w:t>Kreuz</w:t>
      </w:r>
      <w:proofErr w:type="spellEnd"/>
      <w:r w:rsidRPr="0059462B">
        <w:rPr>
          <w:rFonts w:ascii="Sylfaen" w:hAnsi="Sylfaen"/>
          <w:i/>
          <w:sz w:val="24"/>
          <w:szCs w:val="24"/>
        </w:rPr>
        <w:t xml:space="preserve"> contra Polonia, de 19 de junio de 2001 (TEDH 2001, 398) (asunto núm. 28249/95), mantiene que el requisito de abonar tasas judiciales en procesos civiles no infringe por sí solo el derecho de acceso a un tribunal protegido por el art. 6.1 del Convenio de Roma. Sin embargo, la cuantía de las tasas no debe ser excesiva, a la luz de las </w:t>
      </w:r>
      <w:r w:rsidRPr="0059462B">
        <w:rPr>
          <w:rFonts w:ascii="Sylfaen" w:hAnsi="Sylfaen"/>
          <w:i/>
          <w:sz w:val="24"/>
          <w:szCs w:val="24"/>
        </w:rPr>
        <w:lastRenderedPageBreak/>
        <w:t xml:space="preserve">circunstancias propias de cada caso, de tal modo que impida satisfacer el contenido esencial del derecho de acceso efectivo a la justicia (§§ 60 y 66; en el mismo sentido, SSTEDH de 26 de julio de 2005, </w:t>
      </w:r>
      <w:proofErr w:type="spellStart"/>
      <w:r w:rsidRPr="0059462B">
        <w:rPr>
          <w:rFonts w:ascii="Sylfaen" w:hAnsi="Sylfaen"/>
          <w:i/>
          <w:sz w:val="24"/>
          <w:szCs w:val="24"/>
        </w:rPr>
        <w:t>Kniat</w:t>
      </w:r>
      <w:proofErr w:type="spellEnd"/>
      <w:r w:rsidRPr="0059462B">
        <w:rPr>
          <w:rFonts w:ascii="Sylfaen" w:hAnsi="Sylfaen"/>
          <w:i/>
          <w:sz w:val="24"/>
          <w:szCs w:val="24"/>
        </w:rPr>
        <w:t xml:space="preserve"> c. Polonia, as. 71731/01; 28 de noviembre de 2006, </w:t>
      </w:r>
      <w:proofErr w:type="spellStart"/>
      <w:r w:rsidRPr="0059462B">
        <w:rPr>
          <w:rFonts w:ascii="Sylfaen" w:hAnsi="Sylfaen"/>
          <w:i/>
          <w:sz w:val="24"/>
          <w:szCs w:val="24"/>
        </w:rPr>
        <w:t>Apostol</w:t>
      </w:r>
      <w:proofErr w:type="spellEnd"/>
      <w:r w:rsidRPr="0059462B">
        <w:rPr>
          <w:rFonts w:ascii="Sylfaen" w:hAnsi="Sylfaen"/>
          <w:i/>
          <w:sz w:val="24"/>
          <w:szCs w:val="24"/>
        </w:rPr>
        <w:t xml:space="preserve"> c. Georgia, as. 40765/02; y 9 de diciembre de 2010, </w:t>
      </w:r>
      <w:proofErr w:type="spellStart"/>
      <w:r w:rsidRPr="0059462B">
        <w:rPr>
          <w:rFonts w:ascii="Sylfaen" w:hAnsi="Sylfaen"/>
          <w:i/>
          <w:sz w:val="24"/>
          <w:szCs w:val="24"/>
        </w:rPr>
        <w:t>Urbanek</w:t>
      </w:r>
      <w:proofErr w:type="spellEnd"/>
      <w:r w:rsidRPr="0059462B">
        <w:rPr>
          <w:rFonts w:ascii="Sylfaen" w:hAnsi="Sylfaen"/>
          <w:i/>
          <w:sz w:val="24"/>
          <w:szCs w:val="24"/>
        </w:rPr>
        <w:t xml:space="preserve"> c. Austria, as. 35123/05).</w:t>
      </w:r>
    </w:p>
    <w:p w:rsidR="00822077" w:rsidRPr="0059462B" w:rsidRDefault="00822077" w:rsidP="00822077">
      <w:pPr>
        <w:spacing w:after="0"/>
        <w:ind w:left="680"/>
        <w:jc w:val="both"/>
        <w:rPr>
          <w:rFonts w:ascii="Sylfaen" w:hAnsi="Sylfaen"/>
          <w:i/>
          <w:sz w:val="24"/>
          <w:szCs w:val="24"/>
        </w:rPr>
      </w:pPr>
      <w:r w:rsidRPr="0059462B">
        <w:rPr>
          <w:rFonts w:ascii="Sylfaen" w:hAnsi="Sylfaen"/>
          <w:i/>
          <w:sz w:val="24"/>
          <w:szCs w:val="24"/>
        </w:rPr>
        <w:t xml:space="preserve">Estos criterios son compartidos por la Unión Europea, en virtud del derecho a una tutela judicial efectiva que ha consagrado el art. 47 de la Carta de los derechos fundamentales, tal y como ha expuesto la Sentencia del Tribunal de Justicia de 22 de diciembre de 2010 en el asunto DEB Deutsche </w:t>
      </w:r>
      <w:proofErr w:type="spellStart"/>
      <w:r w:rsidRPr="0059462B">
        <w:rPr>
          <w:rFonts w:ascii="Sylfaen" w:hAnsi="Sylfaen"/>
          <w:i/>
          <w:sz w:val="24"/>
          <w:szCs w:val="24"/>
        </w:rPr>
        <w:t>Energiehandels-undBeratungsgesellschaftmbH</w:t>
      </w:r>
      <w:proofErr w:type="spellEnd"/>
      <w:r w:rsidRPr="0059462B">
        <w:rPr>
          <w:rFonts w:ascii="Sylfaen" w:hAnsi="Sylfaen"/>
          <w:i/>
          <w:sz w:val="24"/>
          <w:szCs w:val="24"/>
        </w:rPr>
        <w:t xml:space="preserve"> (núm. C-279/09). Con la particularidad de que esta resolución no cuestiona en modo alguno la financiación de la actividad judicial a costa de las empresas que instan litigios civiles; lo que impone el principio de tutela judicial efectiva es que una persona jurídica, que invoca en el proceso derechos otorgados por el Derecho comunitario, pueda obtener la dispensa del pago anticipado de las costas procesales si dicho abono, anterior a la Sentencia, constituyera un obstáculo insuperable para su acceso a la justicia. Regla que se encuentra en sintonía con las exigencias que dimanan del derecho enunciado en el art. 24.1 CE </w:t>
      </w:r>
      <w:r>
        <w:rPr>
          <w:rFonts w:ascii="Sylfaen" w:hAnsi="Sylfaen"/>
          <w:i/>
          <w:sz w:val="24"/>
          <w:szCs w:val="24"/>
        </w:rPr>
        <w:t>(</w:t>
      </w:r>
      <w:r w:rsidRPr="0059462B">
        <w:rPr>
          <w:rFonts w:ascii="Sylfaen" w:hAnsi="Sylfaen"/>
          <w:i/>
          <w:sz w:val="24"/>
          <w:szCs w:val="24"/>
        </w:rPr>
        <w:t>STC 84/1992, de 28 de mayo, F. 4)”.</w:t>
      </w:r>
    </w:p>
    <w:p w:rsidR="00822077" w:rsidRDefault="00822077" w:rsidP="00822077">
      <w:pPr>
        <w:spacing w:after="0"/>
        <w:jc w:val="both"/>
        <w:rPr>
          <w:rFonts w:ascii="Sylfaen" w:hAnsi="Sylfaen"/>
          <w:sz w:val="24"/>
          <w:szCs w:val="24"/>
        </w:rPr>
      </w:pPr>
    </w:p>
    <w:p w:rsidR="00822077" w:rsidRDefault="00493AC4" w:rsidP="00822077">
      <w:pPr>
        <w:spacing w:after="0"/>
        <w:jc w:val="both"/>
        <w:rPr>
          <w:rFonts w:ascii="Sylfaen" w:hAnsi="Sylfaen"/>
          <w:sz w:val="24"/>
          <w:szCs w:val="24"/>
        </w:rPr>
      </w:pPr>
      <w:r>
        <w:rPr>
          <w:rFonts w:ascii="Sylfaen" w:hAnsi="Sylfaen"/>
          <w:sz w:val="24"/>
          <w:szCs w:val="24"/>
        </w:rPr>
        <w:t>R</w:t>
      </w:r>
      <w:r w:rsidR="00822077">
        <w:rPr>
          <w:rFonts w:ascii="Sylfaen" w:hAnsi="Sylfaen"/>
          <w:sz w:val="24"/>
          <w:szCs w:val="24"/>
        </w:rPr>
        <w:t xml:space="preserve">esulta claro, sencillo de entender, que las previsiones del art. 7 de la Ley 10/2012 </w:t>
      </w:r>
      <w:r w:rsidR="00822077">
        <w:t>“</w:t>
      </w:r>
      <w:r w:rsidR="00822077" w:rsidRPr="00A011C9">
        <w:rPr>
          <w:rFonts w:ascii="Sylfaen" w:hAnsi="Sylfaen"/>
          <w:i/>
          <w:sz w:val="24"/>
          <w:szCs w:val="24"/>
        </w:rPr>
        <w:t>impiden en la práctica el acceso a la jurisdicción o lo obstaculizan en un caso concreto en términos irrazonables</w:t>
      </w:r>
      <w:r w:rsidR="00822077">
        <w:rPr>
          <w:rFonts w:ascii="Sylfaen" w:hAnsi="Sylfaen"/>
          <w:sz w:val="24"/>
          <w:szCs w:val="24"/>
        </w:rPr>
        <w:t xml:space="preserve">”, en términos del propio Tribunal Constitucional. La exagerada cuantía del tributo y, más específicamente, su desproporción con respecto a la cuantía litigiosa en numerosos casos hace que la tasa no resulte </w:t>
      </w:r>
      <w:proofErr w:type="spellStart"/>
      <w:r w:rsidR="00822077">
        <w:rPr>
          <w:rFonts w:ascii="Sylfaen" w:hAnsi="Sylfaen"/>
          <w:sz w:val="24"/>
          <w:szCs w:val="24"/>
        </w:rPr>
        <w:t>desincentivadora</w:t>
      </w:r>
      <w:proofErr w:type="spellEnd"/>
      <w:r w:rsidR="00822077">
        <w:rPr>
          <w:rFonts w:ascii="Sylfaen" w:hAnsi="Sylfaen"/>
          <w:sz w:val="24"/>
          <w:szCs w:val="24"/>
        </w:rPr>
        <w:t>, sino impeditiva del acceso a la Jurisdicción.</w:t>
      </w:r>
    </w:p>
    <w:p w:rsidR="00822077" w:rsidRDefault="00822077" w:rsidP="00822077">
      <w:pPr>
        <w:spacing w:after="0"/>
        <w:jc w:val="both"/>
        <w:rPr>
          <w:rFonts w:ascii="Sylfaen" w:hAnsi="Sylfaen"/>
          <w:sz w:val="24"/>
          <w:szCs w:val="24"/>
        </w:rPr>
      </w:pPr>
    </w:p>
    <w:p w:rsidR="00CB644C" w:rsidRDefault="00822077" w:rsidP="00822077">
      <w:pPr>
        <w:spacing w:after="0"/>
        <w:jc w:val="both"/>
        <w:rPr>
          <w:rFonts w:ascii="Sylfaen" w:hAnsi="Sylfaen"/>
          <w:sz w:val="24"/>
          <w:szCs w:val="24"/>
        </w:rPr>
      </w:pPr>
      <w:r>
        <w:rPr>
          <w:rFonts w:ascii="Sylfaen" w:hAnsi="Sylfaen"/>
          <w:sz w:val="24"/>
          <w:szCs w:val="24"/>
        </w:rPr>
        <w:t xml:space="preserve">La Ley 10/2012 supone para un número indeterminado, pero enormemente elevado, de supuestos que </w:t>
      </w:r>
      <w:r w:rsidRPr="00B81BD6">
        <w:rPr>
          <w:rFonts w:ascii="Sylfaen" w:hAnsi="Sylfaen"/>
          <w:sz w:val="24"/>
          <w:szCs w:val="24"/>
        </w:rPr>
        <w:t xml:space="preserve">la cuantía de las tasas establecidas </w:t>
      </w:r>
      <w:r>
        <w:rPr>
          <w:rFonts w:ascii="Sylfaen" w:hAnsi="Sylfaen"/>
          <w:sz w:val="24"/>
          <w:szCs w:val="24"/>
        </w:rPr>
        <w:t xml:space="preserve"> es tan elevada que impide</w:t>
      </w:r>
      <w:r w:rsidRPr="00B81BD6">
        <w:rPr>
          <w:rFonts w:ascii="Sylfaen" w:hAnsi="Sylfaen"/>
          <w:sz w:val="24"/>
          <w:szCs w:val="24"/>
        </w:rPr>
        <w:t xml:space="preserve"> en la práctica el acceso a la jurisdicción o lo obstaculiza en</w:t>
      </w:r>
      <w:r>
        <w:rPr>
          <w:rFonts w:ascii="Sylfaen" w:hAnsi="Sylfaen"/>
          <w:sz w:val="24"/>
          <w:szCs w:val="24"/>
        </w:rPr>
        <w:t xml:space="preserve"> numerosos</w:t>
      </w:r>
      <w:r w:rsidRPr="00B81BD6">
        <w:rPr>
          <w:rFonts w:ascii="Sylfaen" w:hAnsi="Sylfaen"/>
          <w:sz w:val="24"/>
          <w:szCs w:val="24"/>
        </w:rPr>
        <w:t xml:space="preserve"> caso</w:t>
      </w:r>
      <w:r>
        <w:rPr>
          <w:rFonts w:ascii="Sylfaen" w:hAnsi="Sylfaen"/>
          <w:sz w:val="24"/>
          <w:szCs w:val="24"/>
        </w:rPr>
        <w:t>s</w:t>
      </w:r>
      <w:r w:rsidRPr="00B81BD6">
        <w:rPr>
          <w:rFonts w:ascii="Sylfaen" w:hAnsi="Sylfaen"/>
          <w:sz w:val="24"/>
          <w:szCs w:val="24"/>
        </w:rPr>
        <w:t xml:space="preserve"> en términos irrazonables, </w:t>
      </w:r>
      <w:r>
        <w:rPr>
          <w:rFonts w:ascii="Sylfaen" w:hAnsi="Sylfaen"/>
          <w:sz w:val="24"/>
          <w:szCs w:val="24"/>
        </w:rPr>
        <w:t>en términos del propio Tribunal Constitucional, por lo que entendemos que resulta inconstitucional, especialmente en lo regulado por sus artículos 4 y 7 que, a nuestro entender vulneran los artículos 14 y 24 de nuestra Carta Magna.</w:t>
      </w:r>
    </w:p>
    <w:p w:rsidR="00822077" w:rsidRDefault="00822077" w:rsidP="00822077">
      <w:pPr>
        <w:spacing w:after="0"/>
        <w:jc w:val="both"/>
        <w:rPr>
          <w:rFonts w:ascii="Sylfaen" w:hAnsi="Sylfaen"/>
          <w:sz w:val="24"/>
          <w:szCs w:val="24"/>
        </w:rPr>
      </w:pPr>
    </w:p>
    <w:p w:rsidR="004370EC" w:rsidRDefault="004370EC" w:rsidP="00822077">
      <w:pPr>
        <w:spacing w:after="0"/>
        <w:jc w:val="both"/>
        <w:rPr>
          <w:rFonts w:ascii="Sylfaen" w:hAnsi="Sylfaen"/>
          <w:sz w:val="24"/>
          <w:szCs w:val="24"/>
        </w:rPr>
      </w:pPr>
      <w:r>
        <w:rPr>
          <w:rFonts w:ascii="Sylfaen" w:hAnsi="Sylfaen"/>
          <w:sz w:val="24"/>
          <w:szCs w:val="24"/>
        </w:rPr>
        <w:t>Y así ha ocurrido en el presente caso, en el que se me ha exigido una tasa por el ejercicio de la potestad jurisdiccional por importe de ………. €, por interponer …………………….. (</w:t>
      </w:r>
      <w:proofErr w:type="gramStart"/>
      <w:r>
        <w:rPr>
          <w:rFonts w:ascii="Sylfaen" w:hAnsi="Sylfaen"/>
          <w:sz w:val="24"/>
          <w:szCs w:val="24"/>
        </w:rPr>
        <w:t>breve</w:t>
      </w:r>
      <w:proofErr w:type="gramEnd"/>
      <w:r>
        <w:rPr>
          <w:rFonts w:ascii="Sylfaen" w:hAnsi="Sylfaen"/>
          <w:sz w:val="24"/>
          <w:szCs w:val="24"/>
        </w:rPr>
        <w:t xml:space="preserve"> exposición del caso). Todo ello d</w:t>
      </w:r>
      <w:bookmarkStart w:id="0" w:name="_GoBack"/>
      <w:bookmarkEnd w:id="0"/>
      <w:r>
        <w:rPr>
          <w:rFonts w:ascii="Sylfaen" w:hAnsi="Sylfaen"/>
          <w:sz w:val="24"/>
          <w:szCs w:val="24"/>
        </w:rPr>
        <w:t xml:space="preserve">emuestra, en los términos de la citada STC 20/2012, que se me ha obstaculizado de manera </w:t>
      </w:r>
      <w:r>
        <w:rPr>
          <w:rFonts w:ascii="Sylfaen" w:hAnsi="Sylfaen"/>
          <w:sz w:val="24"/>
          <w:szCs w:val="24"/>
        </w:rPr>
        <w:lastRenderedPageBreak/>
        <w:t>irrazonable y desproporcionada el ejercicio del derecho a la tutela judicial efectiva del artículo 24 de la Constitución Española.</w:t>
      </w:r>
    </w:p>
    <w:p w:rsidR="004370EC" w:rsidRDefault="004370EC" w:rsidP="00822077">
      <w:pPr>
        <w:spacing w:after="0"/>
        <w:jc w:val="both"/>
        <w:rPr>
          <w:rFonts w:ascii="Sylfaen" w:hAnsi="Sylfaen"/>
          <w:sz w:val="24"/>
          <w:szCs w:val="24"/>
        </w:rPr>
      </w:pPr>
    </w:p>
    <w:p w:rsidR="00822077" w:rsidRDefault="00822077" w:rsidP="00822077">
      <w:pPr>
        <w:spacing w:after="0"/>
        <w:jc w:val="both"/>
        <w:rPr>
          <w:rFonts w:ascii="Sylfaen" w:hAnsi="Sylfaen"/>
          <w:sz w:val="24"/>
          <w:szCs w:val="24"/>
        </w:rPr>
      </w:pPr>
      <w:r>
        <w:rPr>
          <w:rFonts w:ascii="Sylfaen" w:hAnsi="Sylfaen"/>
          <w:sz w:val="24"/>
          <w:szCs w:val="24"/>
        </w:rPr>
        <w:t xml:space="preserve">Por lo expuesto, </w:t>
      </w:r>
    </w:p>
    <w:p w:rsidR="00822077" w:rsidRDefault="00822077" w:rsidP="00822077">
      <w:pPr>
        <w:spacing w:after="0"/>
        <w:jc w:val="both"/>
        <w:rPr>
          <w:rFonts w:ascii="Sylfaen" w:hAnsi="Sylfaen"/>
          <w:sz w:val="24"/>
          <w:szCs w:val="24"/>
        </w:rPr>
      </w:pPr>
    </w:p>
    <w:p w:rsidR="00D5205D" w:rsidRDefault="00822077" w:rsidP="003F0894">
      <w:pPr>
        <w:spacing w:after="0"/>
        <w:jc w:val="both"/>
        <w:rPr>
          <w:rFonts w:ascii="Sylfaen" w:hAnsi="Sylfaen"/>
          <w:sz w:val="24"/>
          <w:szCs w:val="24"/>
        </w:rPr>
      </w:pPr>
      <w:r w:rsidRPr="00822077">
        <w:rPr>
          <w:rFonts w:ascii="Sylfaen" w:hAnsi="Sylfaen"/>
          <w:b/>
          <w:sz w:val="24"/>
          <w:szCs w:val="24"/>
        </w:rPr>
        <w:t>AL TRIBUNAL ECONÓMICO ADMINISTRATIVO</w:t>
      </w:r>
      <w:r>
        <w:rPr>
          <w:rFonts w:ascii="Sylfaen" w:hAnsi="Sylfaen"/>
          <w:sz w:val="24"/>
          <w:szCs w:val="24"/>
        </w:rPr>
        <w:t xml:space="preserve"> suplico que tenga por presentado este escrito y en su virtud, tenga por promovida Reclamación Económico Administrativa contra la Autoliquidación de la Tasa Judicial referida</w:t>
      </w:r>
      <w:r w:rsidR="00493AC4">
        <w:rPr>
          <w:rFonts w:ascii="Sylfaen" w:hAnsi="Sylfaen"/>
          <w:sz w:val="24"/>
          <w:szCs w:val="24"/>
        </w:rPr>
        <w:t xml:space="preserve"> (especificar en cada caso exactamente la Autoliquidación, con nº de referencia…)</w:t>
      </w:r>
      <w:r>
        <w:rPr>
          <w:rFonts w:ascii="Sylfaen" w:hAnsi="Sylfaen"/>
          <w:sz w:val="24"/>
          <w:szCs w:val="24"/>
        </w:rPr>
        <w:t>, para que tras los trámites oportunos, dicte en su día Resolución por la que se declare su anulación</w:t>
      </w:r>
      <w:r w:rsidR="00493AC4">
        <w:rPr>
          <w:rFonts w:ascii="Sylfaen" w:hAnsi="Sylfaen"/>
          <w:sz w:val="24"/>
          <w:szCs w:val="24"/>
        </w:rPr>
        <w:t>, por inconstitucionalidad de la norma que lo avala</w:t>
      </w:r>
      <w:r>
        <w:rPr>
          <w:rFonts w:ascii="Sylfaen" w:hAnsi="Sylfaen"/>
          <w:sz w:val="24"/>
          <w:szCs w:val="24"/>
        </w:rPr>
        <w:t xml:space="preserve"> y</w:t>
      </w:r>
      <w:r w:rsidR="00493AC4">
        <w:rPr>
          <w:rFonts w:ascii="Sylfaen" w:hAnsi="Sylfaen"/>
          <w:sz w:val="24"/>
          <w:szCs w:val="24"/>
        </w:rPr>
        <w:t>, consecuentemente,</w:t>
      </w:r>
      <w:r>
        <w:rPr>
          <w:rFonts w:ascii="Sylfaen" w:hAnsi="Sylfaen"/>
          <w:sz w:val="24"/>
          <w:szCs w:val="24"/>
        </w:rPr>
        <w:t xml:space="preserve"> la devolución del importe </w:t>
      </w:r>
      <w:proofErr w:type="gramStart"/>
      <w:r>
        <w:rPr>
          <w:rFonts w:ascii="Sylfaen" w:hAnsi="Sylfaen"/>
          <w:sz w:val="24"/>
          <w:szCs w:val="24"/>
        </w:rPr>
        <w:t>de ….</w:t>
      </w:r>
      <w:proofErr w:type="gramEnd"/>
      <w:r>
        <w:rPr>
          <w:rFonts w:ascii="Sylfaen" w:hAnsi="Sylfaen"/>
          <w:sz w:val="24"/>
          <w:szCs w:val="24"/>
        </w:rPr>
        <w:t xml:space="preserve"> € </w:t>
      </w:r>
      <w:proofErr w:type="gramStart"/>
      <w:r>
        <w:rPr>
          <w:rFonts w:ascii="Sylfaen" w:hAnsi="Sylfaen"/>
          <w:sz w:val="24"/>
          <w:szCs w:val="24"/>
        </w:rPr>
        <w:t>que</w:t>
      </w:r>
      <w:proofErr w:type="gramEnd"/>
      <w:r>
        <w:rPr>
          <w:rFonts w:ascii="Sylfaen" w:hAnsi="Sylfaen"/>
          <w:sz w:val="24"/>
          <w:szCs w:val="24"/>
        </w:rPr>
        <w:t xml:space="preserve"> han sido abonados, con lo demás que proceda en derecho.</w:t>
      </w:r>
    </w:p>
    <w:p w:rsidR="00822077" w:rsidRDefault="00822077" w:rsidP="003F0894">
      <w:pPr>
        <w:spacing w:after="0"/>
        <w:jc w:val="both"/>
        <w:rPr>
          <w:rFonts w:ascii="Sylfaen" w:hAnsi="Sylfaen"/>
          <w:sz w:val="24"/>
          <w:szCs w:val="24"/>
        </w:rPr>
      </w:pPr>
    </w:p>
    <w:p w:rsidR="00822077" w:rsidRDefault="00822077" w:rsidP="003F0894">
      <w:pPr>
        <w:spacing w:after="0"/>
        <w:jc w:val="both"/>
        <w:rPr>
          <w:rFonts w:ascii="Sylfaen" w:hAnsi="Sylfaen"/>
          <w:sz w:val="24"/>
          <w:szCs w:val="24"/>
        </w:rPr>
      </w:pPr>
      <w:r>
        <w:rPr>
          <w:rFonts w:ascii="Sylfaen" w:hAnsi="Sylfaen"/>
          <w:sz w:val="24"/>
          <w:szCs w:val="24"/>
        </w:rPr>
        <w:t xml:space="preserve">Es justicia que pido </w:t>
      </w:r>
      <w:proofErr w:type="gramStart"/>
      <w:r>
        <w:rPr>
          <w:rFonts w:ascii="Sylfaen" w:hAnsi="Sylfaen"/>
          <w:sz w:val="24"/>
          <w:szCs w:val="24"/>
        </w:rPr>
        <w:t>en …</w:t>
      </w:r>
      <w:proofErr w:type="gramEnd"/>
      <w:r>
        <w:rPr>
          <w:rFonts w:ascii="Sylfaen" w:hAnsi="Sylfaen"/>
          <w:sz w:val="24"/>
          <w:szCs w:val="24"/>
        </w:rPr>
        <w:t xml:space="preserve">………….. </w:t>
      </w:r>
      <w:proofErr w:type="gramStart"/>
      <w:r>
        <w:rPr>
          <w:rFonts w:ascii="Sylfaen" w:hAnsi="Sylfaen"/>
          <w:sz w:val="24"/>
          <w:szCs w:val="24"/>
        </w:rPr>
        <w:t>a</w:t>
      </w:r>
      <w:proofErr w:type="gramEnd"/>
      <w:r>
        <w:rPr>
          <w:rFonts w:ascii="Sylfaen" w:hAnsi="Sylfaen"/>
          <w:sz w:val="24"/>
          <w:szCs w:val="24"/>
        </w:rPr>
        <w:t xml:space="preserve"> ……………………………</w:t>
      </w:r>
    </w:p>
    <w:p w:rsidR="00822077" w:rsidRDefault="00822077" w:rsidP="003F0894">
      <w:pPr>
        <w:spacing w:after="0"/>
        <w:jc w:val="both"/>
        <w:rPr>
          <w:rFonts w:ascii="Sylfaen" w:hAnsi="Sylfaen"/>
          <w:sz w:val="24"/>
          <w:szCs w:val="24"/>
        </w:rPr>
      </w:pPr>
    </w:p>
    <w:p w:rsidR="00822077" w:rsidRDefault="00822077" w:rsidP="003F0894">
      <w:pPr>
        <w:spacing w:after="0"/>
        <w:jc w:val="both"/>
        <w:rPr>
          <w:rFonts w:ascii="Sylfaen" w:hAnsi="Sylfaen"/>
          <w:sz w:val="24"/>
          <w:szCs w:val="24"/>
        </w:rPr>
      </w:pPr>
    </w:p>
    <w:sectPr w:rsidR="00822077" w:rsidSect="00D8759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0EC" w:rsidRDefault="004370EC" w:rsidP="00391BFA">
      <w:pPr>
        <w:spacing w:after="0" w:line="240" w:lineRule="auto"/>
      </w:pPr>
      <w:r>
        <w:separator/>
      </w:r>
    </w:p>
  </w:endnote>
  <w:endnote w:type="continuationSeparator" w:id="0">
    <w:p w:rsidR="004370EC" w:rsidRDefault="004370EC" w:rsidP="0039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61965"/>
      <w:docPartObj>
        <w:docPartGallery w:val="Page Numbers (Bottom of Page)"/>
        <w:docPartUnique/>
      </w:docPartObj>
    </w:sdtPr>
    <w:sdtContent>
      <w:p w:rsidR="004370EC" w:rsidRDefault="004370EC">
        <w:pPr>
          <w:pStyle w:val="Piedepgina"/>
          <w:jc w:val="right"/>
        </w:pPr>
        <w:r>
          <w:fldChar w:fldCharType="begin"/>
        </w:r>
        <w:r>
          <w:instrText>PAGE   \* MERGEFORMAT</w:instrText>
        </w:r>
        <w:r>
          <w:fldChar w:fldCharType="separate"/>
        </w:r>
        <w:r w:rsidR="00D654CB">
          <w:rPr>
            <w:noProof/>
          </w:rPr>
          <w:t>4</w:t>
        </w:r>
        <w:r>
          <w:fldChar w:fldCharType="end"/>
        </w:r>
      </w:p>
    </w:sdtContent>
  </w:sdt>
  <w:p w:rsidR="004370EC" w:rsidRDefault="004370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0EC" w:rsidRDefault="004370EC" w:rsidP="00391BFA">
      <w:pPr>
        <w:spacing w:after="0" w:line="240" w:lineRule="auto"/>
      </w:pPr>
      <w:r>
        <w:separator/>
      </w:r>
    </w:p>
  </w:footnote>
  <w:footnote w:type="continuationSeparator" w:id="0">
    <w:p w:rsidR="004370EC" w:rsidRDefault="004370EC" w:rsidP="00391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50589"/>
    <w:multiLevelType w:val="hybridMultilevel"/>
    <w:tmpl w:val="852425BE"/>
    <w:lvl w:ilvl="0" w:tplc="C854B9C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3393F28"/>
    <w:multiLevelType w:val="hybridMultilevel"/>
    <w:tmpl w:val="4CCEF354"/>
    <w:lvl w:ilvl="0" w:tplc="E662CEB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D1B2D"/>
    <w:rsid w:val="00002623"/>
    <w:rsid w:val="000041BD"/>
    <w:rsid w:val="00013AB7"/>
    <w:rsid w:val="00017ECF"/>
    <w:rsid w:val="000411B5"/>
    <w:rsid w:val="00074F14"/>
    <w:rsid w:val="00077F8A"/>
    <w:rsid w:val="00094DC0"/>
    <w:rsid w:val="000A25E3"/>
    <w:rsid w:val="000D1F42"/>
    <w:rsid w:val="00107463"/>
    <w:rsid w:val="001260D7"/>
    <w:rsid w:val="00134042"/>
    <w:rsid w:val="00135B26"/>
    <w:rsid w:val="00181115"/>
    <w:rsid w:val="001839C4"/>
    <w:rsid w:val="001941C1"/>
    <w:rsid w:val="001A1FA7"/>
    <w:rsid w:val="001B6328"/>
    <w:rsid w:val="001D6F90"/>
    <w:rsid w:val="001E32D2"/>
    <w:rsid w:val="00206EB0"/>
    <w:rsid w:val="00216C09"/>
    <w:rsid w:val="002668E7"/>
    <w:rsid w:val="002C5981"/>
    <w:rsid w:val="0033654E"/>
    <w:rsid w:val="00336ACA"/>
    <w:rsid w:val="00357D2F"/>
    <w:rsid w:val="00362676"/>
    <w:rsid w:val="00391BFA"/>
    <w:rsid w:val="003B243D"/>
    <w:rsid w:val="003C38BF"/>
    <w:rsid w:val="003C5CC3"/>
    <w:rsid w:val="003D6840"/>
    <w:rsid w:val="003E5E35"/>
    <w:rsid w:val="003F068F"/>
    <w:rsid w:val="003F0894"/>
    <w:rsid w:val="00405D67"/>
    <w:rsid w:val="004370EC"/>
    <w:rsid w:val="00440A00"/>
    <w:rsid w:val="00447D74"/>
    <w:rsid w:val="00450211"/>
    <w:rsid w:val="00450FFF"/>
    <w:rsid w:val="0046378F"/>
    <w:rsid w:val="00464CF5"/>
    <w:rsid w:val="00473ABF"/>
    <w:rsid w:val="004848A5"/>
    <w:rsid w:val="00486797"/>
    <w:rsid w:val="00493AC4"/>
    <w:rsid w:val="004C4032"/>
    <w:rsid w:val="004C4F5F"/>
    <w:rsid w:val="004D0707"/>
    <w:rsid w:val="004E7ED7"/>
    <w:rsid w:val="00511A6C"/>
    <w:rsid w:val="00517151"/>
    <w:rsid w:val="005218D3"/>
    <w:rsid w:val="00550105"/>
    <w:rsid w:val="00580D1D"/>
    <w:rsid w:val="00582B73"/>
    <w:rsid w:val="0059462B"/>
    <w:rsid w:val="005A3E08"/>
    <w:rsid w:val="005B6CA9"/>
    <w:rsid w:val="005E664C"/>
    <w:rsid w:val="005F14F7"/>
    <w:rsid w:val="00612131"/>
    <w:rsid w:val="00635571"/>
    <w:rsid w:val="00666825"/>
    <w:rsid w:val="00673E68"/>
    <w:rsid w:val="00675DD3"/>
    <w:rsid w:val="00682B1F"/>
    <w:rsid w:val="006D15B3"/>
    <w:rsid w:val="00700BBA"/>
    <w:rsid w:val="00704BAD"/>
    <w:rsid w:val="0074024B"/>
    <w:rsid w:val="0075317E"/>
    <w:rsid w:val="00754EFB"/>
    <w:rsid w:val="00761E57"/>
    <w:rsid w:val="0078026E"/>
    <w:rsid w:val="007C027E"/>
    <w:rsid w:val="007C2438"/>
    <w:rsid w:val="007F5EF9"/>
    <w:rsid w:val="008049F7"/>
    <w:rsid w:val="00807C3C"/>
    <w:rsid w:val="00822077"/>
    <w:rsid w:val="00827F06"/>
    <w:rsid w:val="00853811"/>
    <w:rsid w:val="00861274"/>
    <w:rsid w:val="00874D07"/>
    <w:rsid w:val="0088656F"/>
    <w:rsid w:val="008A72D7"/>
    <w:rsid w:val="008B1C9E"/>
    <w:rsid w:val="008B2EFE"/>
    <w:rsid w:val="008E2415"/>
    <w:rsid w:val="009033D6"/>
    <w:rsid w:val="009042E8"/>
    <w:rsid w:val="009105C7"/>
    <w:rsid w:val="009251A7"/>
    <w:rsid w:val="00952534"/>
    <w:rsid w:val="00962562"/>
    <w:rsid w:val="009B1602"/>
    <w:rsid w:val="009B6414"/>
    <w:rsid w:val="009D1B2D"/>
    <w:rsid w:val="009D54C8"/>
    <w:rsid w:val="009F21A4"/>
    <w:rsid w:val="00A011C9"/>
    <w:rsid w:val="00A346DD"/>
    <w:rsid w:val="00A43C6E"/>
    <w:rsid w:val="00A45ABA"/>
    <w:rsid w:val="00A4777D"/>
    <w:rsid w:val="00A52EC9"/>
    <w:rsid w:val="00A7123B"/>
    <w:rsid w:val="00AA72DA"/>
    <w:rsid w:val="00AC1895"/>
    <w:rsid w:val="00AE380E"/>
    <w:rsid w:val="00B45C00"/>
    <w:rsid w:val="00B75D4E"/>
    <w:rsid w:val="00B81BD6"/>
    <w:rsid w:val="00B830FA"/>
    <w:rsid w:val="00C13C3D"/>
    <w:rsid w:val="00C46DF5"/>
    <w:rsid w:val="00C511E8"/>
    <w:rsid w:val="00C514BF"/>
    <w:rsid w:val="00C8190C"/>
    <w:rsid w:val="00CA04E9"/>
    <w:rsid w:val="00CB187A"/>
    <w:rsid w:val="00CB644C"/>
    <w:rsid w:val="00CF4A5A"/>
    <w:rsid w:val="00D17D0A"/>
    <w:rsid w:val="00D3044E"/>
    <w:rsid w:val="00D370EF"/>
    <w:rsid w:val="00D5205D"/>
    <w:rsid w:val="00D654CB"/>
    <w:rsid w:val="00D87595"/>
    <w:rsid w:val="00DB2AF0"/>
    <w:rsid w:val="00DB32E6"/>
    <w:rsid w:val="00DC248F"/>
    <w:rsid w:val="00DC7EB0"/>
    <w:rsid w:val="00DF04F6"/>
    <w:rsid w:val="00DF5D8A"/>
    <w:rsid w:val="00E06382"/>
    <w:rsid w:val="00E42F8F"/>
    <w:rsid w:val="00E66EDB"/>
    <w:rsid w:val="00E87389"/>
    <w:rsid w:val="00E97356"/>
    <w:rsid w:val="00E9739B"/>
    <w:rsid w:val="00EB7DAD"/>
    <w:rsid w:val="00EC415D"/>
    <w:rsid w:val="00ED2CCB"/>
    <w:rsid w:val="00ED77E1"/>
    <w:rsid w:val="00F333EC"/>
    <w:rsid w:val="00F37886"/>
    <w:rsid w:val="00F41924"/>
    <w:rsid w:val="00F46F97"/>
    <w:rsid w:val="00F5024E"/>
    <w:rsid w:val="00F802FD"/>
    <w:rsid w:val="00FA2E8B"/>
    <w:rsid w:val="00FF14C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BBA"/>
    <w:pPr>
      <w:ind w:left="720"/>
      <w:contextualSpacing/>
    </w:pPr>
  </w:style>
  <w:style w:type="paragraph" w:styleId="Encabezado">
    <w:name w:val="header"/>
    <w:basedOn w:val="Normal"/>
    <w:link w:val="EncabezadoCar"/>
    <w:uiPriority w:val="99"/>
    <w:unhideWhenUsed/>
    <w:rsid w:val="00391B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BFA"/>
  </w:style>
  <w:style w:type="paragraph" w:styleId="Piedepgina">
    <w:name w:val="footer"/>
    <w:basedOn w:val="Normal"/>
    <w:link w:val="PiedepginaCar"/>
    <w:uiPriority w:val="99"/>
    <w:unhideWhenUsed/>
    <w:rsid w:val="00391B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BFA"/>
  </w:style>
  <w:style w:type="paragraph" w:styleId="Textodeglobo">
    <w:name w:val="Balloon Text"/>
    <w:basedOn w:val="Normal"/>
    <w:link w:val="TextodegloboCar"/>
    <w:uiPriority w:val="99"/>
    <w:semiHidden/>
    <w:unhideWhenUsed/>
    <w:rsid w:val="004370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7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BBA"/>
    <w:pPr>
      <w:ind w:left="720"/>
      <w:contextualSpacing/>
    </w:pPr>
  </w:style>
  <w:style w:type="paragraph" w:styleId="Encabezado">
    <w:name w:val="header"/>
    <w:basedOn w:val="Normal"/>
    <w:link w:val="EncabezadoCar"/>
    <w:uiPriority w:val="99"/>
    <w:unhideWhenUsed/>
    <w:rsid w:val="00391B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91BFA"/>
  </w:style>
  <w:style w:type="paragraph" w:styleId="Piedepgina">
    <w:name w:val="footer"/>
    <w:basedOn w:val="Normal"/>
    <w:link w:val="PiedepginaCar"/>
    <w:uiPriority w:val="99"/>
    <w:unhideWhenUsed/>
    <w:rsid w:val="00391B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91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F4F5A-11FE-4254-9CFB-D92B8161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1004</Words>
  <Characters>5523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tgonzalez</dc:creator>
  <cp:lastModifiedBy>Isabel Gozalo Hernando</cp:lastModifiedBy>
  <cp:revision>4</cp:revision>
  <cp:lastPrinted>2012-11-23T11:36:00Z</cp:lastPrinted>
  <dcterms:created xsi:type="dcterms:W3CDTF">2012-11-23T10:38:00Z</dcterms:created>
  <dcterms:modified xsi:type="dcterms:W3CDTF">2012-11-23T12:07:00Z</dcterms:modified>
</cp:coreProperties>
</file>